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C5B03" w14:textId="66A02DC2" w:rsidR="00D879C6" w:rsidRDefault="00EA6FEA" w:rsidP="00EA6FEA">
      <w:pPr>
        <w:pStyle w:val="Sinespaciado"/>
        <w:jc w:val="center"/>
        <w:rPr>
          <w:b/>
          <w:bCs/>
          <w:sz w:val="28"/>
          <w:szCs w:val="28"/>
        </w:rPr>
      </w:pPr>
      <w:r w:rsidRPr="00EA6FEA">
        <w:rPr>
          <w:b/>
          <w:bCs/>
          <w:sz w:val="28"/>
          <w:szCs w:val="28"/>
        </w:rPr>
        <w:t>NUEVOS PLAZOS FIJOS EN PESOS ATADOS AL DÓLAR OFICIAL</w:t>
      </w:r>
    </w:p>
    <w:p w14:paraId="2A08628A" w14:textId="4CB2736E" w:rsidR="00EA6FEA" w:rsidRPr="00EA6FEA" w:rsidRDefault="00EA6FEA" w:rsidP="00EA6FEA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(dólar </w:t>
      </w:r>
      <w:proofErr w:type="spellStart"/>
      <w:r>
        <w:rPr>
          <w:b/>
          <w:bCs/>
          <w:sz w:val="28"/>
          <w:szCs w:val="28"/>
        </w:rPr>
        <w:t>linked</w:t>
      </w:r>
      <w:proofErr w:type="spellEnd"/>
      <w:r>
        <w:rPr>
          <w:b/>
          <w:bCs/>
          <w:sz w:val="28"/>
          <w:szCs w:val="28"/>
        </w:rPr>
        <w:t>)</w:t>
      </w:r>
    </w:p>
    <w:p w14:paraId="57C527D1" w14:textId="3761854D" w:rsidR="00EA6FEA" w:rsidRDefault="00EA6FEA"/>
    <w:p w14:paraId="3343B6FC" w14:textId="7B02E1AD" w:rsidR="00EA6FEA" w:rsidRDefault="00EA6FEA" w:rsidP="00B20177">
      <w:pPr>
        <w:jc w:val="both"/>
        <w:rPr>
          <w:sz w:val="28"/>
          <w:szCs w:val="28"/>
        </w:rPr>
      </w:pPr>
      <w:r w:rsidRPr="00EA6FEA">
        <w:rPr>
          <w:sz w:val="28"/>
          <w:szCs w:val="28"/>
        </w:rPr>
        <w:t>El BCRA</w:t>
      </w:r>
      <w:r>
        <w:rPr>
          <w:sz w:val="28"/>
          <w:szCs w:val="28"/>
        </w:rPr>
        <w:t xml:space="preserve"> autorizó a las entidades financieras a ofrecer plazos fijos atados a la cotización del dólar oficial (dólar </w:t>
      </w:r>
      <w:proofErr w:type="spellStart"/>
      <w:r>
        <w:rPr>
          <w:sz w:val="28"/>
          <w:szCs w:val="28"/>
        </w:rPr>
        <w:t>linked</w:t>
      </w:r>
      <w:proofErr w:type="spellEnd"/>
      <w:r>
        <w:rPr>
          <w:sz w:val="28"/>
          <w:szCs w:val="28"/>
        </w:rPr>
        <w:t>).</w:t>
      </w:r>
    </w:p>
    <w:p w14:paraId="3898B630" w14:textId="2D37EA6D" w:rsidR="00EA6FEA" w:rsidRDefault="00EA6FEA" w:rsidP="00B2017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 importante aclarar que la referencia será, seguramente, la Comunicación A3500 que es un </w:t>
      </w:r>
      <w:proofErr w:type="gramStart"/>
      <w:r>
        <w:rPr>
          <w:sz w:val="28"/>
          <w:szCs w:val="28"/>
        </w:rPr>
        <w:t>precio  promedio</w:t>
      </w:r>
      <w:proofErr w:type="gramEnd"/>
      <w:r>
        <w:rPr>
          <w:sz w:val="28"/>
          <w:szCs w:val="28"/>
        </w:rPr>
        <w:t xml:space="preserve"> de la  diaria operatoria en los bancos.</w:t>
      </w:r>
    </w:p>
    <w:p w14:paraId="15647647" w14:textId="14DCAB90" w:rsidR="00EA6FEA" w:rsidRDefault="00EA6FEA" w:rsidP="00B2017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Es el mismo índice que se utiliza para los bonos ajustados por dólar y para los contratos de futuro como es el caso del ROFEX.</w:t>
      </w:r>
    </w:p>
    <w:p w14:paraId="6B0D0324" w14:textId="65A32450" w:rsidR="00EA6FEA" w:rsidRDefault="00EA6FEA" w:rsidP="00B2017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 </w:t>
      </w:r>
      <w:proofErr w:type="gramStart"/>
      <w:r>
        <w:rPr>
          <w:sz w:val="28"/>
          <w:szCs w:val="28"/>
        </w:rPr>
        <w:t>vamos</w:t>
      </w:r>
      <w:proofErr w:type="gramEnd"/>
      <w:r>
        <w:rPr>
          <w:sz w:val="28"/>
          <w:szCs w:val="28"/>
        </w:rPr>
        <w:t xml:space="preserve"> recibir dólares sino que al vencimiento del plazo fijo se va </w:t>
      </w:r>
      <w:r w:rsidR="00A514AF">
        <w:rPr>
          <w:sz w:val="28"/>
          <w:szCs w:val="28"/>
        </w:rPr>
        <w:t>ajustar al capital a la variación del A3500 entre la fecha de concertación de la operación y la finalización de la misma.</w:t>
      </w:r>
    </w:p>
    <w:p w14:paraId="3EB50BDF" w14:textId="429538B0" w:rsidR="00A514AF" w:rsidRDefault="00A514AF" w:rsidP="00B20177">
      <w:pPr>
        <w:pStyle w:val="Sinespaciado"/>
        <w:jc w:val="both"/>
        <w:rPr>
          <w:sz w:val="28"/>
          <w:szCs w:val="28"/>
        </w:rPr>
      </w:pPr>
    </w:p>
    <w:p w14:paraId="71AC8722" w14:textId="5FBB2F5A" w:rsidR="00A514AF" w:rsidRDefault="00A514AF" w:rsidP="00B2017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En definitiva, es una colocación en pesos que puede generar una interesante tasa en pesos si se producen un fuerte salto en la paridad oficial.</w:t>
      </w:r>
    </w:p>
    <w:p w14:paraId="2B14869C" w14:textId="4D7CCC43" w:rsidR="00A514AF" w:rsidRDefault="00A514AF" w:rsidP="00B20177">
      <w:pPr>
        <w:pStyle w:val="Sinespaciado"/>
        <w:jc w:val="both"/>
        <w:rPr>
          <w:sz w:val="28"/>
          <w:szCs w:val="28"/>
        </w:rPr>
      </w:pPr>
    </w:p>
    <w:p w14:paraId="47B50C04" w14:textId="66F9A2B3" w:rsidR="00A514AF" w:rsidRDefault="00A514AF" w:rsidP="00B2017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Como referencia tenemos al dólar ROFEX que genera una tasa implícita entre el A3500 del momento y los diferentes vencimientos.</w:t>
      </w:r>
    </w:p>
    <w:p w14:paraId="11E38AB1" w14:textId="614C5DB9" w:rsidR="00A514AF" w:rsidRDefault="00A514AF" w:rsidP="00EA6FEA">
      <w:pPr>
        <w:pStyle w:val="Sinespaciado"/>
        <w:rPr>
          <w:sz w:val="28"/>
          <w:szCs w:val="28"/>
        </w:rPr>
      </w:pPr>
    </w:p>
    <w:p w14:paraId="49B46F9A" w14:textId="3E061644" w:rsidR="00A514AF" w:rsidRDefault="007369BC" w:rsidP="00EA6FEA">
      <w:pPr>
        <w:pStyle w:val="Sinespaciado"/>
        <w:rPr>
          <w:sz w:val="28"/>
          <w:szCs w:val="28"/>
        </w:rPr>
      </w:pPr>
      <w:r>
        <w:rPr>
          <w:noProof/>
        </w:rPr>
        <w:drawing>
          <wp:inline distT="0" distB="0" distL="0" distR="0" wp14:anchorId="2E7D4069" wp14:editId="1607A308">
            <wp:extent cx="6105525" cy="316882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0309" cy="317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10210" w14:textId="70AE69EF" w:rsidR="007369BC" w:rsidRDefault="007369BC" w:rsidP="00B2017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Vemos que a diferentes vencimientos tenemos la referencia de estos contratos para estimar la expectativa del mercado de la futura evolución del dólar oficial.</w:t>
      </w:r>
    </w:p>
    <w:p w14:paraId="6E22DF9F" w14:textId="291DB24E" w:rsidR="007369BC" w:rsidRDefault="007369BC" w:rsidP="00B2017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Es obvio que si en la vida de vigencia del plazo fijo la paridad cambiaria </w:t>
      </w:r>
      <w:r w:rsidR="00A77371">
        <w:rPr>
          <w:sz w:val="28"/>
          <w:szCs w:val="28"/>
        </w:rPr>
        <w:t xml:space="preserve">se ajusta el capital </w:t>
      </w:r>
      <w:proofErr w:type="gramStart"/>
      <w:r w:rsidR="00A77371">
        <w:rPr>
          <w:sz w:val="28"/>
          <w:szCs w:val="28"/>
        </w:rPr>
        <w:t>del mismo</w:t>
      </w:r>
      <w:proofErr w:type="gramEnd"/>
      <w:r w:rsidR="00B20177">
        <w:rPr>
          <w:sz w:val="28"/>
          <w:szCs w:val="28"/>
        </w:rPr>
        <w:t xml:space="preserve"> se ajusta </w:t>
      </w:r>
      <w:proofErr w:type="spellStart"/>
      <w:r w:rsidR="00B20177">
        <w:rPr>
          <w:sz w:val="28"/>
          <w:szCs w:val="28"/>
        </w:rPr>
        <w:t>tambien</w:t>
      </w:r>
      <w:proofErr w:type="spellEnd"/>
      <w:r w:rsidR="00A77371">
        <w:rPr>
          <w:sz w:val="28"/>
          <w:szCs w:val="28"/>
        </w:rPr>
        <w:t>.</w:t>
      </w:r>
    </w:p>
    <w:p w14:paraId="73D0A0A3" w14:textId="752E8DA4" w:rsidR="00A77371" w:rsidRPr="00B20177" w:rsidRDefault="00A77371" w:rsidP="00B20177">
      <w:pPr>
        <w:pStyle w:val="Sinespaciado"/>
        <w:jc w:val="both"/>
        <w:rPr>
          <w:i/>
          <w:iCs/>
          <w:sz w:val="28"/>
          <w:szCs w:val="28"/>
          <w:u w:val="single"/>
        </w:rPr>
      </w:pPr>
      <w:r w:rsidRPr="00B20177">
        <w:rPr>
          <w:i/>
          <w:iCs/>
          <w:sz w:val="28"/>
          <w:szCs w:val="28"/>
          <w:u w:val="single"/>
        </w:rPr>
        <w:t>Es altamente improbable que se produzca una baja en la paridad cambiaria por lo que es un instrumento que intenta captar las expectativas alcistas de la paridad cambiaria.</w:t>
      </w:r>
    </w:p>
    <w:p w14:paraId="15FCCB49" w14:textId="1E0F68FE" w:rsidR="00A77371" w:rsidRDefault="00A77371" w:rsidP="00EA6FEA">
      <w:pPr>
        <w:pStyle w:val="Sinespaciado"/>
        <w:rPr>
          <w:sz w:val="28"/>
          <w:szCs w:val="28"/>
        </w:rPr>
      </w:pPr>
    </w:p>
    <w:p w14:paraId="503B97F6" w14:textId="03468014" w:rsidR="00A77371" w:rsidRDefault="00A77371" w:rsidP="00EA6FEA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Lo</w:t>
      </w:r>
      <w:r w:rsidR="00B20177">
        <w:rPr>
          <w:sz w:val="28"/>
          <w:szCs w:val="28"/>
        </w:rPr>
        <w:t xml:space="preserve"> que debemos</w:t>
      </w:r>
      <w:r>
        <w:rPr>
          <w:sz w:val="28"/>
          <w:szCs w:val="28"/>
        </w:rPr>
        <w:t xml:space="preserve"> a tomar en cuenta </w:t>
      </w:r>
      <w:r w:rsidR="00B20177">
        <w:rPr>
          <w:sz w:val="28"/>
          <w:szCs w:val="28"/>
        </w:rPr>
        <w:t>es</w:t>
      </w:r>
      <w:r>
        <w:rPr>
          <w:sz w:val="28"/>
          <w:szCs w:val="28"/>
        </w:rPr>
        <w:t>:</w:t>
      </w:r>
    </w:p>
    <w:p w14:paraId="17C1551C" w14:textId="039BCF55" w:rsidR="00A77371" w:rsidRDefault="00A77371" w:rsidP="00B20177">
      <w:pPr>
        <w:pStyle w:val="Sinespaciad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 el caso de desdoblamiento cambiario no sabemos que valor de referencia se debe tomar para ajustar estos activos. </w:t>
      </w:r>
    </w:p>
    <w:p w14:paraId="56A0C7B3" w14:textId="45FF72DD" w:rsidR="00A77371" w:rsidRDefault="00A77371" w:rsidP="00B20177">
      <w:pPr>
        <w:pStyle w:val="Sinespaciad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Si se crea un dólar libre sin intervención directa del BCRA y otro regulado para el comercio exterior no queda claro cual es el que se toma como referencia.</w:t>
      </w:r>
    </w:p>
    <w:p w14:paraId="69A79AA7" w14:textId="770A7DC4" w:rsidR="00A77371" w:rsidRPr="00A77371" w:rsidRDefault="00A77371" w:rsidP="00B20177">
      <w:pPr>
        <w:pStyle w:val="Sinespaciad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Las tasas de referencia que se muestran en los contratos de futuro se modifican diariamente producto de las expectativas de los agentes.</w:t>
      </w:r>
    </w:p>
    <w:p w14:paraId="3323E095" w14:textId="6887CACD" w:rsidR="00A77371" w:rsidRDefault="00A77371" w:rsidP="00A77371">
      <w:pPr>
        <w:pStyle w:val="Sinespaciado"/>
        <w:ind w:left="720"/>
        <w:rPr>
          <w:sz w:val="28"/>
          <w:szCs w:val="28"/>
        </w:rPr>
      </w:pPr>
      <w:r>
        <w:rPr>
          <w:noProof/>
        </w:rPr>
        <w:drawing>
          <wp:inline distT="0" distB="0" distL="0" distR="0" wp14:anchorId="0DB65C50" wp14:editId="28002262">
            <wp:extent cx="5114286" cy="3495238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14286" cy="34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C0B64" w14:textId="0C58F189" w:rsidR="00A77371" w:rsidRDefault="00A77371" w:rsidP="00A77371">
      <w:pPr>
        <w:pStyle w:val="Sinespaciado"/>
        <w:ind w:left="720"/>
        <w:rPr>
          <w:sz w:val="28"/>
          <w:szCs w:val="28"/>
        </w:rPr>
      </w:pPr>
    </w:p>
    <w:p w14:paraId="4B36CC24" w14:textId="36670261" w:rsidR="00A77371" w:rsidRDefault="00A77371" w:rsidP="00B20177">
      <w:pPr>
        <w:pStyle w:val="Sinespaciad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Se observa que entre el 4 y el 11 de septiembre las expectativas de aumento del dólar oficial baj</w:t>
      </w:r>
      <w:r w:rsidR="00B20177">
        <w:rPr>
          <w:sz w:val="28"/>
          <w:szCs w:val="28"/>
        </w:rPr>
        <w:t>aron</w:t>
      </w:r>
      <w:r>
        <w:rPr>
          <w:sz w:val="28"/>
          <w:szCs w:val="28"/>
        </w:rPr>
        <w:t xml:space="preserve"> sensiblemente a partir de los 180 d</w:t>
      </w:r>
      <w:r w:rsidR="00B20177">
        <w:rPr>
          <w:sz w:val="28"/>
          <w:szCs w:val="28"/>
        </w:rPr>
        <w:t>í</w:t>
      </w:r>
      <w:r>
        <w:rPr>
          <w:sz w:val="28"/>
          <w:szCs w:val="28"/>
        </w:rPr>
        <w:t>as.</w:t>
      </w:r>
    </w:p>
    <w:p w14:paraId="615395A6" w14:textId="43FE71BC" w:rsidR="00A77371" w:rsidRDefault="00A77371" w:rsidP="00B20177">
      <w:pPr>
        <w:pStyle w:val="Sinespaciad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 quiere decir que vamos a ajustar los plazos fijos a estos </w:t>
      </w:r>
      <w:proofErr w:type="gramStart"/>
      <w:r>
        <w:rPr>
          <w:sz w:val="28"/>
          <w:szCs w:val="28"/>
        </w:rPr>
        <w:t>valores</w:t>
      </w:r>
      <w:proofErr w:type="gramEnd"/>
      <w:r>
        <w:rPr>
          <w:sz w:val="28"/>
          <w:szCs w:val="28"/>
        </w:rPr>
        <w:t xml:space="preserve"> sino que podemos empezar una operatoria con una expectativa de que la tasa en pesos a obtener sea de 55% en 350 d</w:t>
      </w:r>
      <w:r w:rsidR="00B20177">
        <w:rPr>
          <w:sz w:val="28"/>
          <w:szCs w:val="28"/>
        </w:rPr>
        <w:t>í</w:t>
      </w:r>
      <w:r>
        <w:rPr>
          <w:sz w:val="28"/>
          <w:szCs w:val="28"/>
        </w:rPr>
        <w:t xml:space="preserve">as y a la semana siguiente esa expectativa caiga al 50% por </w:t>
      </w:r>
      <w:r w:rsidR="000D7BE6">
        <w:rPr>
          <w:sz w:val="28"/>
          <w:szCs w:val="28"/>
        </w:rPr>
        <w:t xml:space="preserve">menores temores cambiarios y llegados </w:t>
      </w:r>
      <w:r w:rsidR="000D7BE6">
        <w:rPr>
          <w:sz w:val="28"/>
          <w:szCs w:val="28"/>
        </w:rPr>
        <w:lastRenderedPageBreak/>
        <w:t>al vencimiento del plazo fijo el valor ajustados sea todavía muy diferente.</w:t>
      </w:r>
    </w:p>
    <w:p w14:paraId="6AC84912" w14:textId="11A7DB59" w:rsidR="000D7BE6" w:rsidRPr="00B20177" w:rsidRDefault="000D7BE6" w:rsidP="00B20177">
      <w:pPr>
        <w:pStyle w:val="Sinespaciado"/>
        <w:ind w:left="720"/>
        <w:jc w:val="both"/>
        <w:rPr>
          <w:b/>
          <w:bCs/>
          <w:i/>
          <w:iCs/>
          <w:sz w:val="28"/>
          <w:szCs w:val="28"/>
          <w:u w:val="single"/>
        </w:rPr>
      </w:pPr>
      <w:r w:rsidRPr="00B20177">
        <w:rPr>
          <w:b/>
          <w:bCs/>
          <w:i/>
          <w:iCs/>
          <w:sz w:val="28"/>
          <w:szCs w:val="28"/>
          <w:u w:val="single"/>
        </w:rPr>
        <w:t xml:space="preserve">Es decir que es un activo </w:t>
      </w:r>
      <w:r w:rsidR="00B20177">
        <w:rPr>
          <w:b/>
          <w:bCs/>
          <w:i/>
          <w:iCs/>
          <w:sz w:val="28"/>
          <w:szCs w:val="28"/>
          <w:u w:val="single"/>
        </w:rPr>
        <w:t xml:space="preserve">que busca tasas en pesos interesantes y </w:t>
      </w:r>
      <w:r w:rsidRPr="00B20177">
        <w:rPr>
          <w:b/>
          <w:bCs/>
          <w:i/>
          <w:iCs/>
          <w:sz w:val="28"/>
          <w:szCs w:val="28"/>
          <w:u w:val="single"/>
        </w:rPr>
        <w:t xml:space="preserve">para </w:t>
      </w:r>
      <w:r w:rsidR="00B20177">
        <w:rPr>
          <w:b/>
          <w:bCs/>
          <w:i/>
          <w:iCs/>
          <w:sz w:val="28"/>
          <w:szCs w:val="28"/>
          <w:u w:val="single"/>
        </w:rPr>
        <w:t>inversionistas que</w:t>
      </w:r>
      <w:r w:rsidRPr="00B20177">
        <w:rPr>
          <w:b/>
          <w:bCs/>
          <w:i/>
          <w:iCs/>
          <w:sz w:val="28"/>
          <w:szCs w:val="28"/>
          <w:u w:val="single"/>
        </w:rPr>
        <w:t xml:space="preserve"> esperan un salto en la paridad cambiaria en los próximos meses</w:t>
      </w:r>
      <w:r w:rsidR="00B20177" w:rsidRPr="00B20177">
        <w:rPr>
          <w:b/>
          <w:bCs/>
          <w:i/>
          <w:iCs/>
          <w:sz w:val="28"/>
          <w:szCs w:val="28"/>
          <w:u w:val="single"/>
        </w:rPr>
        <w:t xml:space="preserve"> sin tener la seguridad de cual puede ser el resultado de la inversión a priori.</w:t>
      </w:r>
    </w:p>
    <w:p w14:paraId="07152C1A" w14:textId="77777777" w:rsidR="00B20177" w:rsidRDefault="00B20177" w:rsidP="00A77371">
      <w:pPr>
        <w:pStyle w:val="Sinespaciado"/>
        <w:ind w:left="720"/>
        <w:rPr>
          <w:sz w:val="28"/>
          <w:szCs w:val="28"/>
        </w:rPr>
      </w:pPr>
    </w:p>
    <w:p w14:paraId="588ECB0B" w14:textId="7E9C3348" w:rsidR="000D7BE6" w:rsidRPr="00EA6FEA" w:rsidRDefault="00B20177" w:rsidP="00B20177">
      <w:pPr>
        <w:pStyle w:val="Sinespaciad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Seguramente tendrán una tasa de interés baja como ocurre con los bonos ajustados por CER.</w:t>
      </w:r>
    </w:p>
    <w:sectPr w:rsidR="000D7BE6" w:rsidRPr="00EA6FEA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7B6807"/>
    <w:multiLevelType w:val="hybridMultilevel"/>
    <w:tmpl w:val="557A8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FEA"/>
    <w:rsid w:val="000D7BE6"/>
    <w:rsid w:val="001F2FE6"/>
    <w:rsid w:val="007369BC"/>
    <w:rsid w:val="00A514AF"/>
    <w:rsid w:val="00A77371"/>
    <w:rsid w:val="00B20177"/>
    <w:rsid w:val="00D879C6"/>
    <w:rsid w:val="00EA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B86FF"/>
  <w15:chartTrackingRefBased/>
  <w15:docId w15:val="{C000B608-F957-4D0E-BF6D-D0746AF1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A6F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Freddy Vieytes</cp:lastModifiedBy>
  <cp:revision>2</cp:revision>
  <dcterms:created xsi:type="dcterms:W3CDTF">2020-09-12T22:51:00Z</dcterms:created>
  <dcterms:modified xsi:type="dcterms:W3CDTF">2020-09-12T22:51:00Z</dcterms:modified>
</cp:coreProperties>
</file>