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3BC1D154" w:rsidR="007C3C1B" w:rsidRDefault="00D93A0E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Negativo desempeño de las acciones del sector.</w:t>
      </w:r>
    </w:p>
    <w:p w14:paraId="15884CA6" w14:textId="19DE7317" w:rsidR="00D93A0E" w:rsidRDefault="00D93A0E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El congelamiento de las facturas y el rumor de expropiación sobre EDESUR le puso nerviosismo al sector.</w:t>
      </w:r>
    </w:p>
    <w:p w14:paraId="774D5A4D" w14:textId="0466705F" w:rsidR="005A78A0" w:rsidRPr="00CE3793" w:rsidRDefault="005A78A0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En N.Y. las acciones cotizantes </w:t>
      </w:r>
      <w:r w:rsidR="00D93A0E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también cerraron a la baja.</w:t>
      </w:r>
    </w:p>
    <w:p w14:paraId="305711E8" w14:textId="4077224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93A0E">
        <w:rPr>
          <w:rFonts w:ascii="Trebuchet MS" w:eastAsia="Times New Roman" w:hAnsi="Trebuchet MS" w:cs="Times New Roman"/>
          <w:sz w:val="24"/>
          <w:szCs w:val="24"/>
        </w:rPr>
        <w:t>26,60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93A0E">
        <w:rPr>
          <w:rFonts w:ascii="Trebuchet MS" w:eastAsia="Times New Roman" w:hAnsi="Trebuchet MS" w:cs="Times New Roman"/>
          <w:sz w:val="24"/>
          <w:szCs w:val="24"/>
        </w:rPr>
        <w:t>-3.62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9B5355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93A0E">
        <w:rPr>
          <w:rFonts w:ascii="Trebuchet MS" w:eastAsia="Times New Roman" w:hAnsi="Trebuchet MS" w:cs="Times New Roman"/>
          <w:sz w:val="24"/>
          <w:szCs w:val="24"/>
        </w:rPr>
        <w:t>54,20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93A0E">
        <w:rPr>
          <w:rFonts w:ascii="Trebuchet MS" w:eastAsia="Times New Roman" w:hAnsi="Trebuchet MS" w:cs="Times New Roman"/>
          <w:sz w:val="24"/>
          <w:szCs w:val="24"/>
        </w:rPr>
        <w:t>baj</w:t>
      </w:r>
      <w:r w:rsidR="00AE7180">
        <w:rPr>
          <w:rFonts w:ascii="Trebuchet MS" w:eastAsia="Times New Roman" w:hAnsi="Trebuchet MS" w:cs="Times New Roman"/>
          <w:sz w:val="24"/>
          <w:szCs w:val="24"/>
        </w:rPr>
        <w:t>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93A0E">
        <w:rPr>
          <w:rFonts w:ascii="Trebuchet MS" w:eastAsia="Times New Roman" w:hAnsi="Trebuchet MS" w:cs="Times New Roman"/>
          <w:sz w:val="24"/>
          <w:szCs w:val="24"/>
        </w:rPr>
        <w:t>-5.49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10.94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93A0E">
        <w:rPr>
          <w:rFonts w:ascii="Trebuchet MS" w:eastAsia="Times New Roman" w:hAnsi="Trebuchet MS" w:cs="Times New Roman"/>
          <w:sz w:val="24"/>
          <w:szCs w:val="24"/>
        </w:rPr>
        <w:t>-10.91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15EA552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6188E">
        <w:rPr>
          <w:rFonts w:ascii="Trebuchet MS" w:eastAsia="Times New Roman" w:hAnsi="Trebuchet MS" w:cs="Times New Roman"/>
          <w:sz w:val="24"/>
          <w:szCs w:val="24"/>
        </w:rPr>
        <w:t>23,</w:t>
      </w:r>
      <w:r w:rsidR="00D93A0E">
        <w:rPr>
          <w:rFonts w:ascii="Trebuchet MS" w:eastAsia="Times New Roman" w:hAnsi="Trebuchet MS" w:cs="Times New Roman"/>
          <w:sz w:val="24"/>
          <w:szCs w:val="24"/>
        </w:rPr>
        <w:t>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188E">
        <w:rPr>
          <w:rFonts w:ascii="Trebuchet MS" w:eastAsia="Times New Roman" w:hAnsi="Trebuchet MS" w:cs="Times New Roman"/>
          <w:sz w:val="24"/>
          <w:szCs w:val="24"/>
        </w:rPr>
        <w:t>baja</w:t>
      </w:r>
      <w:r w:rsidR="00DF4D5B">
        <w:rPr>
          <w:rFonts w:ascii="Trebuchet MS" w:eastAsia="Times New Roman" w:hAnsi="Trebuchet MS" w:cs="Times New Roman"/>
          <w:sz w:val="24"/>
          <w:szCs w:val="24"/>
        </w:rPr>
        <w:t>ndo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188E">
        <w:rPr>
          <w:rFonts w:ascii="Trebuchet MS" w:eastAsia="Times New Roman" w:hAnsi="Trebuchet MS" w:cs="Times New Roman"/>
          <w:sz w:val="24"/>
          <w:szCs w:val="24"/>
        </w:rPr>
        <w:t>-0.63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D93A0E">
        <w:rPr>
          <w:rFonts w:ascii="Trebuchet MS" w:eastAsia="Times New Roman" w:hAnsi="Trebuchet MS" w:cs="Times New Roman"/>
          <w:sz w:val="24"/>
          <w:szCs w:val="24"/>
        </w:rPr>
        <w:t>3.81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93A0E">
        <w:rPr>
          <w:rFonts w:ascii="Trebuchet MS" w:eastAsia="Times New Roman" w:hAnsi="Trebuchet MS" w:cs="Times New Roman"/>
          <w:sz w:val="24"/>
          <w:szCs w:val="24"/>
        </w:rPr>
        <w:t>-8.63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031ABB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D93A0E">
        <w:rPr>
          <w:rFonts w:ascii="Trebuchet MS" w:eastAsia="Times New Roman" w:hAnsi="Trebuchet MS" w:cs="Times New Roman"/>
          <w:sz w:val="24"/>
          <w:szCs w:val="24"/>
        </w:rPr>
        <w:t>32,50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D93A0E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93A0E">
        <w:rPr>
          <w:rFonts w:ascii="Trebuchet MS" w:eastAsia="Times New Roman" w:hAnsi="Trebuchet MS" w:cs="Times New Roman"/>
          <w:sz w:val="24"/>
          <w:szCs w:val="24"/>
        </w:rPr>
        <w:t>-4.69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D93A0E">
        <w:rPr>
          <w:rFonts w:ascii="Trebuchet MS" w:eastAsia="Times New Roman" w:hAnsi="Trebuchet MS" w:cs="Times New Roman"/>
          <w:sz w:val="24"/>
          <w:szCs w:val="24"/>
        </w:rPr>
        <w:t>66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bajando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3A0E">
        <w:rPr>
          <w:rFonts w:ascii="Trebuchet MS" w:eastAsia="Times New Roman" w:hAnsi="Trebuchet MS" w:cs="Times New Roman"/>
          <w:sz w:val="24"/>
          <w:szCs w:val="24"/>
        </w:rPr>
        <w:t>-8.63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01354C17" w:rsidR="00BF6BA5" w:rsidRPr="003079B8" w:rsidRDefault="0003328D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Señales de compra en todos los activos del sector</w:t>
      </w:r>
      <w:r w:rsidR="00CD6D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debiendo prestar atención a caídas hacia zonas de soporte.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499CC71" w14:textId="0958A701" w:rsidR="0080030D" w:rsidRDefault="00AE4F88" w:rsidP="0080030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55C3A132" w:rsidR="0023056A" w:rsidRDefault="00D93A0E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D0BEDA7" wp14:editId="404C0764">
            <wp:extent cx="6406515" cy="1724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611" cy="17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3D411E7C" w:rsidR="0003328D" w:rsidRPr="002F10EB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1A05E76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8A8A29E" w:rsidR="0023056A" w:rsidRPr="0023056A" w:rsidRDefault="00D93A0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366EF" wp14:editId="793127EE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8A8A29E" w:rsidR="0023056A" w:rsidRPr="0023056A" w:rsidRDefault="00D93A0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366EF" wp14:editId="793127EE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93A0E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93A0E">
        <w:rPr>
          <w:b/>
          <w:sz w:val="28"/>
          <w:szCs w:val="28"/>
        </w:rPr>
        <w:t>54,20</w:t>
      </w:r>
      <w:r w:rsidR="000C02A1">
        <w:rPr>
          <w:b/>
          <w:sz w:val="28"/>
          <w:szCs w:val="28"/>
        </w:rPr>
        <w:t>)</w:t>
      </w:r>
    </w:p>
    <w:p w14:paraId="7FFB11DD" w14:textId="2BF83C0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31</w:t>
      </w:r>
      <w:r w:rsidR="000C431E"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0030D">
        <w:rPr>
          <w:b/>
          <w:sz w:val="28"/>
          <w:szCs w:val="28"/>
        </w:rPr>
        <w:t>23,</w:t>
      </w:r>
      <w:r w:rsidR="00D93A0E">
        <w:rPr>
          <w:b/>
          <w:sz w:val="28"/>
          <w:szCs w:val="28"/>
        </w:rPr>
        <w:t>70</w:t>
      </w:r>
      <w:r w:rsidR="00396FF2">
        <w:rPr>
          <w:b/>
          <w:sz w:val="28"/>
          <w:szCs w:val="28"/>
        </w:rPr>
        <w:t>)</w:t>
      </w:r>
    </w:p>
    <w:p w14:paraId="10978B42" w14:textId="0A64EE0C" w:rsidR="00C76C62" w:rsidRPr="00EE4E3A" w:rsidRDefault="00D93A0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0D0AE3" wp14:editId="23C9D58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2AF656E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93A0E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93A0E">
        <w:rPr>
          <w:b/>
          <w:sz w:val="28"/>
          <w:szCs w:val="28"/>
        </w:rPr>
        <w:t>26,60</w:t>
      </w:r>
      <w:r>
        <w:rPr>
          <w:b/>
          <w:sz w:val="28"/>
          <w:szCs w:val="28"/>
        </w:rPr>
        <w:t>)</w:t>
      </w:r>
    </w:p>
    <w:p w14:paraId="1AB49608" w14:textId="7BD4B180" w:rsidR="00242C76" w:rsidRDefault="00D93A0E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AA7782" wp14:editId="525B972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00B04DFC" w:rsidR="0003328D" w:rsidRPr="005F23F5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6CB102A5" w14:textId="125BE0A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D6DF9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/2020 $ </w:t>
      </w:r>
      <w:r w:rsidR="00CD6DF9">
        <w:rPr>
          <w:b/>
          <w:sz w:val="28"/>
          <w:szCs w:val="28"/>
        </w:rPr>
        <w:t>32,50</w:t>
      </w:r>
      <w:r>
        <w:rPr>
          <w:b/>
          <w:sz w:val="28"/>
          <w:szCs w:val="28"/>
        </w:rPr>
        <w:t>)</w:t>
      </w:r>
    </w:p>
    <w:p w14:paraId="5DBF6C0D" w14:textId="656F84E2" w:rsidR="00CC4C83" w:rsidRDefault="00CD6DF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49C1D3" wp14:editId="442FC57F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BD20C" w14:textId="77777777" w:rsidR="00103F97" w:rsidRDefault="00103F97" w:rsidP="009307BC">
      <w:pPr>
        <w:spacing w:after="0" w:line="240" w:lineRule="auto"/>
      </w:pPr>
      <w:r>
        <w:separator/>
      </w:r>
    </w:p>
  </w:endnote>
  <w:endnote w:type="continuationSeparator" w:id="0">
    <w:p w14:paraId="400F60B6" w14:textId="77777777" w:rsidR="00103F97" w:rsidRDefault="00103F9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02BDD" w14:textId="77777777" w:rsidR="00103F97" w:rsidRDefault="00103F97" w:rsidP="009307BC">
      <w:pPr>
        <w:spacing w:after="0" w:line="240" w:lineRule="auto"/>
      </w:pPr>
      <w:r>
        <w:separator/>
      </w:r>
    </w:p>
  </w:footnote>
  <w:footnote w:type="continuationSeparator" w:id="0">
    <w:p w14:paraId="03EAA0B5" w14:textId="77777777" w:rsidR="00103F97" w:rsidRDefault="00103F9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452</cp:revision>
  <dcterms:created xsi:type="dcterms:W3CDTF">2015-12-27T13:43:00Z</dcterms:created>
  <dcterms:modified xsi:type="dcterms:W3CDTF">2020-08-01T00:27:00Z</dcterms:modified>
</cp:coreProperties>
</file>